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1B570" w14:textId="77777777" w:rsidR="00B64314" w:rsidRPr="00722099" w:rsidRDefault="00B64314" w:rsidP="00722099">
      <w:pPr>
        <w:spacing w:after="120" w:line="360" w:lineRule="auto"/>
        <w:ind w:right="424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70EA38F5" w14:textId="77777777" w:rsidR="00B64314" w:rsidRPr="00722099" w:rsidRDefault="00B64314" w:rsidP="00050260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ISTITUTO SALESIANO “DON BOSCO”</w:t>
      </w:r>
    </w:p>
    <w:p w14:paraId="6497F130" w14:textId="77777777" w:rsidR="00B64314" w:rsidRPr="00722099" w:rsidRDefault="00B64314" w:rsidP="00050260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Villa </w:t>
      </w:r>
      <w:proofErr w:type="spellStart"/>
      <w:r w:rsidRPr="00722099">
        <w:rPr>
          <w:rFonts w:ascii="Times New Roman" w:hAnsi="Times New Roman" w:cs="Times New Roman"/>
          <w:sz w:val="22"/>
          <w:szCs w:val="22"/>
        </w:rPr>
        <w:t>Ranchibile</w:t>
      </w:r>
      <w:proofErr w:type="spellEnd"/>
    </w:p>
    <w:p w14:paraId="340CA936" w14:textId="77777777" w:rsidR="00B64314" w:rsidRPr="00722099" w:rsidRDefault="00B64314" w:rsidP="00050260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Via Libertà, 199 – 90143 – PALERMO</w:t>
      </w:r>
    </w:p>
    <w:p w14:paraId="64C4503C" w14:textId="77777777" w:rsidR="00B64314" w:rsidRPr="00722099" w:rsidRDefault="00B64314" w:rsidP="00050260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2099">
        <w:rPr>
          <w:rFonts w:ascii="Times New Roman" w:hAnsi="Times New Roman" w:cs="Times New Roman"/>
          <w:b/>
          <w:sz w:val="22"/>
          <w:szCs w:val="22"/>
        </w:rPr>
        <w:t>Liceo Scientifico</w:t>
      </w:r>
    </w:p>
    <w:p w14:paraId="5A4702E9" w14:textId="6F94218F" w:rsidR="00B64314" w:rsidRPr="00722099" w:rsidRDefault="00B64314" w:rsidP="00050260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Anno scolastico 202</w:t>
      </w:r>
      <w:r w:rsidR="008E7175">
        <w:rPr>
          <w:rFonts w:ascii="Times New Roman" w:hAnsi="Times New Roman" w:cs="Times New Roman"/>
          <w:sz w:val="22"/>
          <w:szCs w:val="22"/>
        </w:rPr>
        <w:t>5</w:t>
      </w:r>
      <w:r w:rsidRPr="00722099">
        <w:rPr>
          <w:rFonts w:ascii="Times New Roman" w:hAnsi="Times New Roman" w:cs="Times New Roman"/>
          <w:sz w:val="22"/>
          <w:szCs w:val="22"/>
        </w:rPr>
        <w:t>/202</w:t>
      </w:r>
      <w:r w:rsidR="008E7175">
        <w:rPr>
          <w:rFonts w:ascii="Times New Roman" w:hAnsi="Times New Roman" w:cs="Times New Roman"/>
          <w:sz w:val="22"/>
          <w:szCs w:val="22"/>
        </w:rPr>
        <w:t>6</w:t>
      </w:r>
    </w:p>
    <w:p w14:paraId="71477ACF" w14:textId="77777777" w:rsidR="00B64314" w:rsidRPr="00722099" w:rsidRDefault="00B64314" w:rsidP="00050260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PROGRAMMA di Educazione Civica  </w:t>
      </w:r>
    </w:p>
    <w:p w14:paraId="5E3F530E" w14:textId="6F79FC4A" w:rsidR="00B64314" w:rsidRPr="00722099" w:rsidRDefault="00B64314" w:rsidP="00050260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Svolto nella classe 5</w:t>
      </w:r>
      <w:r w:rsidRPr="00722099">
        <w:rPr>
          <w:rFonts w:ascii="Times New Roman" w:hAnsi="Times New Roman" w:cs="Times New Roman"/>
          <w:b/>
          <w:position w:val="10"/>
          <w:sz w:val="22"/>
          <w:szCs w:val="22"/>
        </w:rPr>
        <w:t xml:space="preserve">a </w:t>
      </w:r>
      <w:r w:rsidRPr="00722099">
        <w:rPr>
          <w:rFonts w:ascii="Times New Roman" w:hAnsi="Times New Roman" w:cs="Times New Roman"/>
          <w:b/>
          <w:sz w:val="22"/>
          <w:szCs w:val="22"/>
        </w:rPr>
        <w:t xml:space="preserve">sez. </w:t>
      </w:r>
      <w:r w:rsidR="00EA3ECF">
        <w:rPr>
          <w:rFonts w:ascii="Times New Roman" w:hAnsi="Times New Roman" w:cs="Times New Roman"/>
          <w:b/>
          <w:sz w:val="22"/>
          <w:szCs w:val="22"/>
        </w:rPr>
        <w:t>B</w:t>
      </w:r>
    </w:p>
    <w:p w14:paraId="3E6223AB" w14:textId="77777777" w:rsidR="00B64314" w:rsidRPr="00722099" w:rsidRDefault="00B64314" w:rsidP="00722099">
      <w:pPr>
        <w:spacing w:after="120" w:line="360" w:lineRule="auto"/>
        <w:ind w:right="424"/>
        <w:jc w:val="center"/>
        <w:rPr>
          <w:rFonts w:ascii="Times New Roman" w:hAnsi="Times New Roman" w:cs="Times New Roman"/>
          <w:sz w:val="22"/>
          <w:szCs w:val="22"/>
        </w:rPr>
      </w:pPr>
    </w:p>
    <w:p w14:paraId="55FF19F5" w14:textId="77777777" w:rsidR="00B64314" w:rsidRPr="00722099" w:rsidRDefault="00B64314" w:rsidP="00722099">
      <w:pPr>
        <w:spacing w:after="120" w:line="360" w:lineRule="auto"/>
        <w:ind w:right="424"/>
        <w:jc w:val="center"/>
        <w:rPr>
          <w:rFonts w:ascii="Times New Roman" w:hAnsi="Times New Roman" w:cs="Times New Roman"/>
          <w:sz w:val="22"/>
          <w:szCs w:val="22"/>
        </w:rPr>
      </w:pPr>
    </w:p>
    <w:p w14:paraId="59709F96" w14:textId="471625DA" w:rsidR="00B64314" w:rsidRPr="00722099" w:rsidRDefault="00B64314" w:rsidP="00722099">
      <w:pPr>
        <w:spacing w:after="120" w:line="360" w:lineRule="auto"/>
        <w:ind w:right="424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Docente: Prof. Giovanni Galante</w:t>
      </w:r>
    </w:p>
    <w:p w14:paraId="393BFB41" w14:textId="37B700FA" w:rsidR="00B64314" w:rsidRPr="00722099" w:rsidRDefault="00B64314" w:rsidP="00722099">
      <w:pPr>
        <w:spacing w:after="120" w:line="360" w:lineRule="auto"/>
        <w:ind w:right="424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Testo: La nuova educazione civica - per il triennio delle scuole superiori - Rizzoli </w:t>
      </w:r>
      <w:proofErr w:type="spellStart"/>
      <w:r w:rsidRPr="00722099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220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64FE5B" w14:textId="77777777" w:rsidR="00831736" w:rsidRPr="004D6F6A" w:rsidRDefault="00831736" w:rsidP="00831736">
      <w:p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D6F6A">
        <w:rPr>
          <w:rFonts w:ascii="Times New Roman" w:hAnsi="Times New Roman" w:cs="Times New Roman"/>
          <w:sz w:val="22"/>
          <w:szCs w:val="22"/>
        </w:rPr>
        <w:t>La legge 20 agosto 2019, n. 92, “Introduzione dell’insegnamento scolastico dell’educazione civica”, ha previsto, a partire dall’anno scolastico 2020/2021, l’insegnamento trasversale dell’educazione civica in tutti gli ordini e gradi di scuola, compreso il secondo ciclo di istruzione. Nel corso dell’anno scolastico sono stati affrontati i principali temi di educazione civica relativi alla Costituzione italiana e agli obiettivi dell’Agenda 2030, avvalendosi di supporti audiovisivi e di articoli di attualità. Le materie coinvolte nell’insegnamento dell’educazione civica per l’anno scolastico 2025/2026 sono: Storia e Scienze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3D6B8FC" w14:textId="77777777" w:rsidR="00F42BF1" w:rsidRPr="00722099" w:rsidRDefault="00F42BF1" w:rsidP="00722099">
      <w:pPr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2A53777E" w14:textId="0DB59DD8" w:rsidR="009605D4" w:rsidRPr="00722099" w:rsidRDefault="009605D4" w:rsidP="00722099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Dallo Statuto Albertino alla Costituzione</w:t>
      </w:r>
    </w:p>
    <w:p w14:paraId="05BD864D" w14:textId="3AB189F9" w:rsidR="006E5831" w:rsidRPr="00722099" w:rsidRDefault="009605D4" w:rsidP="00722099">
      <w:pPr>
        <w:pStyle w:val="Paragrafoelenco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Statuto Albertino (1848): concesso dal re Carlo Alberto, monarchia costituzionale, poteri concentrati sul re (comandante dell’esercito, titolare del potere esecutivo, forte influenza sul legislativo)</w:t>
      </w:r>
      <w:r w:rsidR="00B64314" w:rsidRPr="00722099">
        <w:rPr>
          <w:rFonts w:ascii="Times New Roman" w:hAnsi="Times New Roman" w:cs="Times New Roman"/>
          <w:sz w:val="22"/>
          <w:szCs w:val="22"/>
        </w:rPr>
        <w:t>.</w:t>
      </w:r>
      <w:r w:rsidRPr="00722099">
        <w:rPr>
          <w:rFonts w:ascii="Times New Roman" w:hAnsi="Times New Roman" w:cs="Times New Roman"/>
          <w:sz w:val="22"/>
          <w:szCs w:val="22"/>
        </w:rPr>
        <w:t xml:space="preserve"> </w:t>
      </w:r>
      <w:r w:rsidR="00B64314" w:rsidRPr="00722099">
        <w:rPr>
          <w:rFonts w:ascii="Times New Roman" w:hAnsi="Times New Roman" w:cs="Times New Roman"/>
          <w:sz w:val="22"/>
          <w:szCs w:val="22"/>
        </w:rPr>
        <w:t xml:space="preserve">Caratteri della </w:t>
      </w:r>
      <w:r w:rsidRPr="00722099">
        <w:rPr>
          <w:rFonts w:ascii="Times New Roman" w:hAnsi="Times New Roman" w:cs="Times New Roman"/>
          <w:sz w:val="22"/>
          <w:szCs w:val="22"/>
        </w:rPr>
        <w:t>costituzione</w:t>
      </w:r>
      <w:r w:rsidR="00B64314" w:rsidRPr="00722099">
        <w:rPr>
          <w:rFonts w:ascii="Times New Roman" w:hAnsi="Times New Roman" w:cs="Times New Roman"/>
          <w:sz w:val="22"/>
          <w:szCs w:val="22"/>
        </w:rPr>
        <w:t>:</w:t>
      </w:r>
      <w:r w:rsidRPr="00722099">
        <w:rPr>
          <w:rFonts w:ascii="Times New Roman" w:hAnsi="Times New Roman" w:cs="Times New Roman"/>
          <w:sz w:val="22"/>
          <w:szCs w:val="22"/>
        </w:rPr>
        <w:t xml:space="preserve"> flessibile</w:t>
      </w:r>
      <w:r w:rsidR="006E5831" w:rsidRPr="00722099">
        <w:rPr>
          <w:rFonts w:ascii="Times New Roman" w:hAnsi="Times New Roman" w:cs="Times New Roman"/>
          <w:sz w:val="22"/>
          <w:szCs w:val="22"/>
        </w:rPr>
        <w:t>,</w:t>
      </w:r>
      <w:r w:rsidRPr="00722099">
        <w:rPr>
          <w:rFonts w:ascii="Times New Roman" w:hAnsi="Times New Roman" w:cs="Times New Roman"/>
          <w:sz w:val="22"/>
          <w:szCs w:val="22"/>
        </w:rPr>
        <w:t xml:space="preserve"> breve</w:t>
      </w:r>
      <w:r w:rsidR="006E5831" w:rsidRPr="00722099">
        <w:rPr>
          <w:rFonts w:ascii="Times New Roman" w:hAnsi="Times New Roman" w:cs="Times New Roman"/>
          <w:sz w:val="22"/>
          <w:szCs w:val="22"/>
        </w:rPr>
        <w:t xml:space="preserve"> ed elargita.</w:t>
      </w:r>
    </w:p>
    <w:p w14:paraId="331F1CC0" w14:textId="63C51E0A" w:rsidR="006E5831" w:rsidRPr="00722099" w:rsidRDefault="009605D4" w:rsidP="00722099">
      <w:pPr>
        <w:pStyle w:val="Paragrafoelenco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Costituzione repubblicana (1948): approvata da</w:t>
      </w:r>
      <w:r w:rsidR="006E1A8D">
        <w:rPr>
          <w:rFonts w:ascii="Times New Roman" w:hAnsi="Times New Roman" w:cs="Times New Roman"/>
          <w:sz w:val="22"/>
          <w:szCs w:val="22"/>
        </w:rPr>
        <w:t>ll’</w:t>
      </w:r>
      <w:r w:rsidR="006E5831" w:rsidRPr="00722099">
        <w:rPr>
          <w:rFonts w:ascii="Times New Roman" w:hAnsi="Times New Roman" w:cs="Times New Roman"/>
          <w:sz w:val="22"/>
          <w:szCs w:val="22"/>
        </w:rPr>
        <w:t>Assemblea costituente</w:t>
      </w:r>
      <w:r w:rsidRPr="00722099">
        <w:rPr>
          <w:rFonts w:ascii="Times New Roman" w:hAnsi="Times New Roman" w:cs="Times New Roman"/>
          <w:sz w:val="22"/>
          <w:szCs w:val="22"/>
        </w:rPr>
        <w:t xml:space="preserve"> eletta dal popolo, repubblica democratica, sovranità popolare, </w:t>
      </w:r>
      <w:r w:rsidR="00B64314" w:rsidRPr="00722099">
        <w:rPr>
          <w:rFonts w:ascii="Times New Roman" w:hAnsi="Times New Roman" w:cs="Times New Roman"/>
          <w:sz w:val="22"/>
          <w:szCs w:val="22"/>
        </w:rPr>
        <w:t xml:space="preserve">Caratteri della </w:t>
      </w:r>
      <w:r w:rsidRPr="00722099">
        <w:rPr>
          <w:rFonts w:ascii="Times New Roman" w:hAnsi="Times New Roman" w:cs="Times New Roman"/>
          <w:sz w:val="22"/>
          <w:szCs w:val="22"/>
        </w:rPr>
        <w:t>costituzione</w:t>
      </w:r>
      <w:r w:rsidR="00B64314" w:rsidRPr="00722099">
        <w:rPr>
          <w:rFonts w:ascii="Times New Roman" w:hAnsi="Times New Roman" w:cs="Times New Roman"/>
          <w:sz w:val="22"/>
          <w:szCs w:val="22"/>
        </w:rPr>
        <w:t>:</w:t>
      </w:r>
      <w:r w:rsidRPr="00722099">
        <w:rPr>
          <w:rFonts w:ascii="Times New Roman" w:hAnsi="Times New Roman" w:cs="Times New Roman"/>
          <w:sz w:val="22"/>
          <w:szCs w:val="22"/>
        </w:rPr>
        <w:t xml:space="preserve"> rigida,</w:t>
      </w:r>
      <w:r w:rsidR="006E5831" w:rsidRPr="00722099">
        <w:rPr>
          <w:rFonts w:ascii="Times New Roman" w:hAnsi="Times New Roman" w:cs="Times New Roman"/>
          <w:sz w:val="22"/>
          <w:szCs w:val="22"/>
        </w:rPr>
        <w:t xml:space="preserve"> lunga e votata. </w:t>
      </w:r>
    </w:p>
    <w:p w14:paraId="2B9E9730" w14:textId="2BF092C1" w:rsidR="006E5831" w:rsidRDefault="009605D4" w:rsidP="00722099">
      <w:pPr>
        <w:pStyle w:val="Paragrafoelenco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Referendum 2 giugno 1946 e voto alle donne. Per la prima volta votano anche le donne</w:t>
      </w:r>
      <w:r w:rsidR="00B64314" w:rsidRPr="00722099">
        <w:rPr>
          <w:rFonts w:ascii="Times New Roman" w:hAnsi="Times New Roman" w:cs="Times New Roman"/>
          <w:sz w:val="22"/>
          <w:szCs w:val="22"/>
        </w:rPr>
        <w:t>.</w:t>
      </w:r>
      <w:r w:rsidRPr="00722099">
        <w:rPr>
          <w:rFonts w:ascii="Times New Roman" w:hAnsi="Times New Roman" w:cs="Times New Roman"/>
          <w:sz w:val="22"/>
          <w:szCs w:val="22"/>
        </w:rPr>
        <w:t xml:space="preserve"> Il 2 giugno 1946 gli italiani votano per scegliere </w:t>
      </w:r>
      <w:r w:rsidR="00B64314" w:rsidRPr="00722099">
        <w:rPr>
          <w:rFonts w:ascii="Times New Roman" w:hAnsi="Times New Roman" w:cs="Times New Roman"/>
          <w:sz w:val="22"/>
          <w:szCs w:val="22"/>
        </w:rPr>
        <w:t xml:space="preserve">la forma di governo </w:t>
      </w:r>
      <w:r w:rsidRPr="00722099">
        <w:rPr>
          <w:rFonts w:ascii="Times New Roman" w:hAnsi="Times New Roman" w:cs="Times New Roman"/>
          <w:sz w:val="22"/>
          <w:szCs w:val="22"/>
        </w:rPr>
        <w:t xml:space="preserve">tra monarchia e repubblica e per eleggere </w:t>
      </w:r>
      <w:r w:rsidR="00B64314" w:rsidRPr="00722099">
        <w:rPr>
          <w:rFonts w:ascii="Times New Roman" w:hAnsi="Times New Roman" w:cs="Times New Roman"/>
          <w:sz w:val="22"/>
          <w:szCs w:val="22"/>
        </w:rPr>
        <w:t>l’Assemblea costituente</w:t>
      </w:r>
      <w:r w:rsidRPr="00722099">
        <w:rPr>
          <w:rFonts w:ascii="Times New Roman" w:hAnsi="Times New Roman" w:cs="Times New Roman"/>
          <w:sz w:val="22"/>
          <w:szCs w:val="22"/>
        </w:rPr>
        <w:t>.</w:t>
      </w:r>
      <w:r w:rsidR="006E5831" w:rsidRPr="00722099">
        <w:rPr>
          <w:rFonts w:ascii="Times New Roman" w:hAnsi="Times New Roman" w:cs="Times New Roman"/>
          <w:sz w:val="22"/>
          <w:szCs w:val="22"/>
        </w:rPr>
        <w:t xml:space="preserve"> </w:t>
      </w:r>
      <w:r w:rsidR="00E90AA5" w:rsidRPr="00722099">
        <w:rPr>
          <w:rFonts w:ascii="Times New Roman" w:hAnsi="Times New Roman" w:cs="Times New Roman"/>
          <w:sz w:val="22"/>
          <w:szCs w:val="22"/>
        </w:rPr>
        <w:t>L’Assemblea costituente</w:t>
      </w:r>
      <w:r w:rsidR="00B64314" w:rsidRPr="00722099">
        <w:rPr>
          <w:rFonts w:ascii="Times New Roman" w:hAnsi="Times New Roman" w:cs="Times New Roman"/>
          <w:sz w:val="22"/>
          <w:szCs w:val="22"/>
        </w:rPr>
        <w:t xml:space="preserve"> composta da 556 membri</w:t>
      </w:r>
      <w:r w:rsidR="006E1A8D">
        <w:rPr>
          <w:rFonts w:ascii="Times New Roman" w:hAnsi="Times New Roman" w:cs="Times New Roman"/>
          <w:sz w:val="22"/>
          <w:szCs w:val="22"/>
        </w:rPr>
        <w:t xml:space="preserve"> di cui 21 donne</w:t>
      </w:r>
      <w:r w:rsidRPr="00722099">
        <w:rPr>
          <w:rFonts w:ascii="Times New Roman" w:hAnsi="Times New Roman" w:cs="Times New Roman"/>
          <w:sz w:val="22"/>
          <w:szCs w:val="22"/>
        </w:rPr>
        <w:t>, insediata il 25 giugno 1946, affida la redazione del progetto di Costituzione alla “Commissione dei 75”</w:t>
      </w:r>
      <w:r w:rsidR="00B64314" w:rsidRPr="00722099">
        <w:rPr>
          <w:rFonts w:ascii="Times New Roman" w:hAnsi="Times New Roman" w:cs="Times New Roman"/>
          <w:sz w:val="22"/>
          <w:szCs w:val="22"/>
        </w:rPr>
        <w:t xml:space="preserve"> di cui </w:t>
      </w:r>
      <w:r w:rsidR="006E1A8D">
        <w:rPr>
          <w:rFonts w:ascii="Times New Roman" w:hAnsi="Times New Roman" w:cs="Times New Roman"/>
          <w:sz w:val="22"/>
          <w:szCs w:val="22"/>
        </w:rPr>
        <w:t>facevano parte 5</w:t>
      </w:r>
      <w:r w:rsidR="00B64314" w:rsidRPr="00722099">
        <w:rPr>
          <w:rFonts w:ascii="Times New Roman" w:hAnsi="Times New Roman" w:cs="Times New Roman"/>
          <w:sz w:val="22"/>
          <w:szCs w:val="22"/>
        </w:rPr>
        <w:t xml:space="preserve"> donne</w:t>
      </w:r>
      <w:r w:rsidRPr="00722099">
        <w:rPr>
          <w:rFonts w:ascii="Times New Roman" w:hAnsi="Times New Roman" w:cs="Times New Roman"/>
          <w:sz w:val="22"/>
          <w:szCs w:val="22"/>
        </w:rPr>
        <w:t>, articolata in sottocommissioni su diritti, ordinamento dello Stato, rapporti economico-sociali</w:t>
      </w:r>
      <w:r w:rsidR="00B64314" w:rsidRPr="00722099">
        <w:rPr>
          <w:rFonts w:ascii="Times New Roman" w:hAnsi="Times New Roman" w:cs="Times New Roman"/>
          <w:sz w:val="22"/>
          <w:szCs w:val="22"/>
        </w:rPr>
        <w:t>.</w:t>
      </w:r>
    </w:p>
    <w:p w14:paraId="50E22B6D" w14:textId="77777777" w:rsidR="00A019B3" w:rsidRPr="00722099" w:rsidRDefault="00A019B3" w:rsidP="00722099">
      <w:pPr>
        <w:pStyle w:val="Paragrafoelenco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480EAAE" w14:textId="77777777" w:rsidR="00F42BF1" w:rsidRPr="00722099" w:rsidRDefault="00F42BF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12CBD43" w14:textId="77777777" w:rsidR="006E5831" w:rsidRPr="00722099" w:rsidRDefault="006E5831" w:rsidP="00722099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Costituzione italiana: il lavoro nella Costituzione</w:t>
      </w:r>
    </w:p>
    <w:p w14:paraId="4DB69F7B" w14:textId="77777777" w:rsidR="006E5831" w:rsidRPr="00722099" w:rsidRDefault="006E5831" w:rsidP="00722099">
      <w:pPr>
        <w:pStyle w:val="Paragrafoelenco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Articolo 1 - Principio fondamentale</w:t>
      </w:r>
    </w:p>
    <w:p w14:paraId="43DA98A3" w14:textId="77777777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L'Italia è una Repubblica democratica fondata sul lavoro: il lavoro è base dell'ordinamento e strumento di dignità personale e partecipazione sociale.</w:t>
      </w:r>
    </w:p>
    <w:p w14:paraId="5EDC67A5" w14:textId="17DE3D19" w:rsidR="006E5831" w:rsidRPr="00722099" w:rsidRDefault="006E5831" w:rsidP="00722099">
      <w:pPr>
        <w:pStyle w:val="Paragrafoelenco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Articolo 4 - Diritto e dovere al lavoro</w:t>
      </w:r>
    </w:p>
    <w:p w14:paraId="4880FF61" w14:textId="168676EA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La Repubblica riconosce a tutti il diritto al lavoro e promuove le condizioni per renderlo effettivo. Il lavoro come diritto e dovere del cittadino; il lavoro garantisce la dignità della persona e progresso della società</w:t>
      </w:r>
    </w:p>
    <w:p w14:paraId="17D20F4C" w14:textId="616DDDB3" w:rsidR="006E5831" w:rsidRPr="00722099" w:rsidRDefault="006E5831" w:rsidP="00722099">
      <w:pPr>
        <w:pStyle w:val="Paragrafoelenco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Articolo 36 - Retribuzione e dignità </w:t>
      </w:r>
    </w:p>
    <w:p w14:paraId="6A9DCD04" w14:textId="77777777" w:rsidR="006E5831" w:rsidRPr="00722099" w:rsidRDefault="006E5831" w:rsidP="00722099">
      <w:pPr>
        <w:pStyle w:val="Paragrafoelenco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Il lavoratore ha diritto a una retribuzione proporzionata e sufficiente ad assicurare a sé e alla famiglia un’esistenza libera e dignitosa, con limiti alla durata della giornata lavorativa e diritto al riposo.</w:t>
      </w:r>
    </w:p>
    <w:p w14:paraId="00F8F722" w14:textId="77777777" w:rsidR="006E5831" w:rsidRPr="00722099" w:rsidRDefault="006E5831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Articolo 37 - Tutela della donna lavoratrice</w:t>
      </w:r>
    </w:p>
    <w:p w14:paraId="6159FF69" w14:textId="217E20D1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La lavoratrice ha gli stessi diritti e, a parità† di lavoro, le stesse retribuzioni del lavoratore</w:t>
      </w:r>
      <w:r w:rsidR="006E1A8D">
        <w:rPr>
          <w:rFonts w:ascii="Times New Roman" w:hAnsi="Times New Roman" w:cs="Times New Roman"/>
          <w:sz w:val="22"/>
          <w:szCs w:val="22"/>
        </w:rPr>
        <w:t xml:space="preserve"> (concetto del </w:t>
      </w:r>
      <w:r w:rsidR="006E1A8D" w:rsidRPr="006E1A8D">
        <w:rPr>
          <w:rFonts w:ascii="Times New Roman" w:hAnsi="Times New Roman" w:cs="Times New Roman"/>
          <w:i/>
          <w:iCs/>
          <w:sz w:val="22"/>
          <w:szCs w:val="22"/>
        </w:rPr>
        <w:t>“tetto di vetro”</w:t>
      </w:r>
      <w:r w:rsidR="006E1A8D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722099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722099">
        <w:rPr>
          <w:rFonts w:ascii="Times New Roman" w:hAnsi="Times New Roman" w:cs="Times New Roman"/>
          <w:sz w:val="22"/>
          <w:szCs w:val="22"/>
        </w:rPr>
        <w:t>Le condizioni di lavoro devono consentire alla donna l'adempimento della funzione familiare e garantire speciale protezione alla madre e al bambino.</w:t>
      </w:r>
    </w:p>
    <w:p w14:paraId="54A837DC" w14:textId="77777777" w:rsidR="006E5831" w:rsidRPr="00722099" w:rsidRDefault="006E5831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Articolo 38 - Previdenza e assistenza</w:t>
      </w:r>
    </w:p>
    <w:p w14:paraId="5473CF28" w14:textId="63018906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Prevede il diritto dei lavoratori alla sicurezza sociale in caso di infortunio, malattia, invalidità, vecchiaia, disoccupazione involontaria e tutela per inabili e indigenti.</w:t>
      </w:r>
    </w:p>
    <w:p w14:paraId="79DF225F" w14:textId="4338815B" w:rsidR="006E5831" w:rsidRPr="00722099" w:rsidRDefault="006E5831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Articolo 39 - Libertà sindacale</w:t>
      </w:r>
    </w:p>
    <w:p w14:paraId="0036857C" w14:textId="5E3A6026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Libertà di organizzazione sindacale; i sindacati registrati possono stipulare contratti collettivi con efficacia generale per la categoria.</w:t>
      </w:r>
    </w:p>
    <w:p w14:paraId="46AB99F9" w14:textId="77777777" w:rsidR="006E5831" w:rsidRPr="00722099" w:rsidRDefault="006E5831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Articolo 40 - Diritto di sciopero</w:t>
      </w:r>
    </w:p>
    <w:p w14:paraId="231128D0" w14:textId="4F0D88A0" w:rsidR="00F42BF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Riconosce il diritto di sciopero, da esercitare nell'ambito delle leggi che lo regolano, come strumento di tutela degli interessi dei lavoratori.</w:t>
      </w:r>
    </w:p>
    <w:p w14:paraId="75D5456F" w14:textId="77777777" w:rsidR="00B64314" w:rsidRPr="00722099" w:rsidRDefault="00B64314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76A3A21" w14:textId="6101F497" w:rsidR="00F42BF1" w:rsidRPr="00722099" w:rsidRDefault="006E5831" w:rsidP="00722099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Articolo 53 </w:t>
      </w:r>
      <w:r w:rsidR="00F42BF1" w:rsidRPr="00722099">
        <w:rPr>
          <w:rFonts w:ascii="Times New Roman" w:hAnsi="Times New Roman" w:cs="Times New Roman"/>
          <w:sz w:val="22"/>
          <w:szCs w:val="22"/>
        </w:rPr>
        <w:t>Partecipazione alla spesa pubblica</w:t>
      </w:r>
    </w:p>
    <w:p w14:paraId="41888ED1" w14:textId="51CFF6AA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"</w:t>
      </w:r>
      <w:r w:rsidRPr="00722099">
        <w:rPr>
          <w:rFonts w:ascii="Times New Roman" w:hAnsi="Times New Roman" w:cs="Times New Roman"/>
          <w:i/>
          <w:iCs/>
          <w:sz w:val="22"/>
          <w:szCs w:val="22"/>
        </w:rPr>
        <w:t xml:space="preserve">Tutti sono tenuti a concorrere alle spese pubbliche in ragione della loro </w:t>
      </w:r>
      <w:r w:rsidR="00F42BF1" w:rsidRPr="00722099">
        <w:rPr>
          <w:rFonts w:ascii="Times New Roman" w:hAnsi="Times New Roman" w:cs="Times New Roman"/>
          <w:i/>
          <w:iCs/>
          <w:sz w:val="22"/>
          <w:szCs w:val="22"/>
        </w:rPr>
        <w:t>capacità</w:t>
      </w:r>
      <w:r w:rsidRPr="00722099">
        <w:rPr>
          <w:rFonts w:ascii="Times New Roman" w:hAnsi="Times New Roman" w:cs="Times New Roman"/>
          <w:i/>
          <w:iCs/>
          <w:sz w:val="22"/>
          <w:szCs w:val="22"/>
        </w:rPr>
        <w:t xml:space="preserve"> contributiva. Il sistema tributario </w:t>
      </w:r>
      <w:r w:rsidR="00F42BF1" w:rsidRPr="00722099">
        <w:rPr>
          <w:rFonts w:ascii="Times New Roman" w:hAnsi="Times New Roman" w:cs="Times New Roman"/>
          <w:i/>
          <w:iCs/>
          <w:sz w:val="22"/>
          <w:szCs w:val="22"/>
        </w:rPr>
        <w:t>è</w:t>
      </w:r>
      <w:r w:rsidRPr="00722099">
        <w:rPr>
          <w:rFonts w:ascii="Times New Roman" w:hAnsi="Times New Roman" w:cs="Times New Roman"/>
          <w:i/>
          <w:iCs/>
          <w:sz w:val="22"/>
          <w:szCs w:val="22"/>
        </w:rPr>
        <w:t xml:space="preserve"> informato a criteri di progressivit</w:t>
      </w:r>
      <w:r w:rsidR="00F42BF1" w:rsidRPr="00722099">
        <w:rPr>
          <w:rFonts w:ascii="Times New Roman" w:hAnsi="Times New Roman" w:cs="Times New Roman"/>
          <w:i/>
          <w:iCs/>
          <w:sz w:val="22"/>
          <w:szCs w:val="22"/>
        </w:rPr>
        <w:t>à</w:t>
      </w:r>
      <w:r w:rsidRPr="00722099">
        <w:rPr>
          <w:rFonts w:ascii="Times New Roman" w:hAnsi="Times New Roman" w:cs="Times New Roman"/>
          <w:i/>
          <w:iCs/>
          <w:sz w:val="22"/>
          <w:szCs w:val="22"/>
        </w:rPr>
        <w:t>."</w:t>
      </w:r>
    </w:p>
    <w:p w14:paraId="2EDBB39B" w14:textId="77777777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Differenza imposte e tasse</w:t>
      </w:r>
    </w:p>
    <w:p w14:paraId="3D860651" w14:textId="145C8926" w:rsidR="006E5831" w:rsidRPr="00722099" w:rsidRDefault="006E5831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lastRenderedPageBreak/>
        <w:t>Imposte: prelievi coattivi senza una prestazione specifica in cambio, servono a finanziare servizi generali</w:t>
      </w:r>
      <w:r w:rsidR="00F42BF1" w:rsidRPr="00722099">
        <w:rPr>
          <w:rFonts w:ascii="Times New Roman" w:hAnsi="Times New Roman" w:cs="Times New Roman"/>
          <w:sz w:val="22"/>
          <w:szCs w:val="22"/>
        </w:rPr>
        <w:t>/collettivi</w:t>
      </w:r>
      <w:r w:rsidRPr="00722099">
        <w:rPr>
          <w:rFonts w:ascii="Times New Roman" w:hAnsi="Times New Roman" w:cs="Times New Roman"/>
          <w:sz w:val="22"/>
          <w:szCs w:val="22"/>
        </w:rPr>
        <w:t xml:space="preserve"> (es. Irpef </w:t>
      </w:r>
      <w:r w:rsidR="006E1A8D">
        <w:rPr>
          <w:rFonts w:ascii="Times New Roman" w:hAnsi="Times New Roman" w:cs="Times New Roman"/>
          <w:sz w:val="22"/>
          <w:szCs w:val="22"/>
        </w:rPr>
        <w:t xml:space="preserve">imposte sul </w:t>
      </w:r>
      <w:r w:rsidRPr="00722099">
        <w:rPr>
          <w:rFonts w:ascii="Times New Roman" w:hAnsi="Times New Roman" w:cs="Times New Roman"/>
          <w:sz w:val="22"/>
          <w:szCs w:val="22"/>
        </w:rPr>
        <w:t>reddito</w:t>
      </w:r>
      <w:r w:rsidR="00F42BF1" w:rsidRPr="00722099">
        <w:rPr>
          <w:rFonts w:ascii="Times New Roman" w:hAnsi="Times New Roman" w:cs="Times New Roman"/>
          <w:sz w:val="22"/>
          <w:szCs w:val="22"/>
        </w:rPr>
        <w:t xml:space="preserve"> persone fisiche</w:t>
      </w:r>
      <w:r w:rsidRPr="00722099">
        <w:rPr>
          <w:rFonts w:ascii="Times New Roman" w:hAnsi="Times New Roman" w:cs="Times New Roman"/>
          <w:sz w:val="22"/>
          <w:szCs w:val="22"/>
        </w:rPr>
        <w:t>, Ires</w:t>
      </w:r>
      <w:r w:rsidR="00F42BF1" w:rsidRPr="00722099">
        <w:rPr>
          <w:rFonts w:ascii="Times New Roman" w:hAnsi="Times New Roman" w:cs="Times New Roman"/>
          <w:sz w:val="22"/>
          <w:szCs w:val="22"/>
        </w:rPr>
        <w:t xml:space="preserve"> imposta sulle società di capitale</w:t>
      </w:r>
      <w:r w:rsidRPr="00722099">
        <w:rPr>
          <w:rFonts w:ascii="Times New Roman" w:hAnsi="Times New Roman" w:cs="Times New Roman"/>
          <w:sz w:val="22"/>
          <w:szCs w:val="22"/>
        </w:rPr>
        <w:t>,), collegate al principio di capacit</w:t>
      </w:r>
      <w:r w:rsidR="00F42BF1" w:rsidRPr="00722099">
        <w:rPr>
          <w:rFonts w:ascii="Times New Roman" w:hAnsi="Times New Roman" w:cs="Times New Roman"/>
          <w:sz w:val="22"/>
          <w:szCs w:val="22"/>
        </w:rPr>
        <w:t>à</w:t>
      </w:r>
      <w:r w:rsidRPr="00722099">
        <w:rPr>
          <w:rFonts w:ascii="Times New Roman" w:hAnsi="Times New Roman" w:cs="Times New Roman"/>
          <w:sz w:val="22"/>
          <w:szCs w:val="22"/>
        </w:rPr>
        <w:t xml:space="preserve"> contributiva e alla progressivit</w:t>
      </w:r>
      <w:r w:rsidR="00F42BF1" w:rsidRPr="00722099">
        <w:rPr>
          <w:rFonts w:ascii="Times New Roman" w:hAnsi="Times New Roman" w:cs="Times New Roman"/>
          <w:sz w:val="22"/>
          <w:szCs w:val="22"/>
        </w:rPr>
        <w:t>à</w:t>
      </w:r>
      <w:r w:rsidRPr="00722099">
        <w:rPr>
          <w:rFonts w:ascii="Times New Roman" w:hAnsi="Times New Roman" w:cs="Times New Roman"/>
          <w:sz w:val="22"/>
          <w:szCs w:val="22"/>
        </w:rPr>
        <w:t>.</w:t>
      </w:r>
    </w:p>
    <w:p w14:paraId="67B0B298" w14:textId="2F3DAD17" w:rsidR="006E5831" w:rsidRPr="00722099" w:rsidRDefault="006E5831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Tasse: corrispettivo di un servizio specifico richiesto dal cittadino alla pubblica amministrazione (esami, rilascio documenti, </w:t>
      </w:r>
      <w:r w:rsidR="00F42BF1" w:rsidRPr="00722099">
        <w:rPr>
          <w:rFonts w:ascii="Times New Roman" w:hAnsi="Times New Roman" w:cs="Times New Roman"/>
          <w:sz w:val="22"/>
          <w:szCs w:val="22"/>
        </w:rPr>
        <w:t xml:space="preserve">iscrizioni </w:t>
      </w:r>
      <w:r w:rsidR="006E1A8D" w:rsidRPr="00722099">
        <w:rPr>
          <w:rFonts w:ascii="Times New Roman" w:hAnsi="Times New Roman" w:cs="Times New Roman"/>
          <w:sz w:val="22"/>
          <w:szCs w:val="22"/>
        </w:rPr>
        <w:t>scolastiche e</w:t>
      </w:r>
      <w:r w:rsidR="00F42BF1" w:rsidRPr="00722099">
        <w:rPr>
          <w:rFonts w:ascii="Times New Roman" w:hAnsi="Times New Roman" w:cs="Times New Roman"/>
          <w:sz w:val="22"/>
          <w:szCs w:val="22"/>
        </w:rPr>
        <w:t>/o universitarie)</w:t>
      </w:r>
    </w:p>
    <w:p w14:paraId="613FEDCA" w14:textId="77777777" w:rsidR="00722099" w:rsidRPr="00722099" w:rsidRDefault="00722099" w:rsidP="00B06AB8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394A95" w14:textId="25B60CD3" w:rsidR="009605D4" w:rsidRPr="00722099" w:rsidRDefault="00E90AA5" w:rsidP="00722099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E</w:t>
      </w:r>
      <w:r w:rsidR="009605D4" w:rsidRPr="00722099">
        <w:rPr>
          <w:rFonts w:ascii="Times New Roman" w:hAnsi="Times New Roman" w:cs="Times New Roman"/>
          <w:sz w:val="22"/>
          <w:szCs w:val="22"/>
        </w:rPr>
        <w:t>voluzione del riconoscimento della donna nell’ordinamento italiano</w:t>
      </w:r>
      <w:r w:rsidR="00F42BF1" w:rsidRPr="00722099">
        <w:rPr>
          <w:rFonts w:ascii="Times New Roman" w:hAnsi="Times New Roman" w:cs="Times New Roman"/>
          <w:sz w:val="22"/>
          <w:szCs w:val="22"/>
        </w:rPr>
        <w:t xml:space="preserve"> -</w:t>
      </w:r>
      <w:r w:rsidR="009605D4" w:rsidRPr="00722099">
        <w:rPr>
          <w:rFonts w:ascii="Times New Roman" w:hAnsi="Times New Roman" w:cs="Times New Roman"/>
          <w:sz w:val="22"/>
          <w:szCs w:val="22"/>
        </w:rPr>
        <w:t xml:space="preserve"> in relazione i principi costituzionali di uguaglianza e pari dignità con le principali tappe legislative del Novecento e degli ultimi decenni.</w:t>
      </w:r>
      <w:r w:rsidR="00F42BF1" w:rsidRPr="00722099">
        <w:rPr>
          <w:rFonts w:ascii="Times New Roman" w:hAnsi="Times New Roman" w:cs="Times New Roman"/>
          <w:sz w:val="22"/>
          <w:szCs w:val="22"/>
        </w:rPr>
        <w:t xml:space="preserve"> </w:t>
      </w:r>
      <w:r w:rsidR="009605D4" w:rsidRPr="00722099">
        <w:rPr>
          <w:rFonts w:ascii="Times New Roman" w:hAnsi="Times New Roman" w:cs="Times New Roman"/>
          <w:sz w:val="22"/>
          <w:szCs w:val="22"/>
        </w:rPr>
        <w:t>Sono stati richiamati, in particolare, i seguenti passaggi storici e normativi:</w:t>
      </w:r>
    </w:p>
    <w:p w14:paraId="60E8B366" w14:textId="2CC5F74A" w:rsidR="00F42BF1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1946 – Primo voto politico alle donne italiane, in occasione del referendum istituzionale e dell’elezione </w:t>
      </w:r>
      <w:r w:rsidR="00B64314" w:rsidRPr="00722099">
        <w:rPr>
          <w:rFonts w:ascii="Times New Roman" w:hAnsi="Times New Roman" w:cs="Times New Roman"/>
          <w:sz w:val="22"/>
          <w:szCs w:val="22"/>
        </w:rPr>
        <w:t>dell’Assemblea costituente</w:t>
      </w:r>
      <w:r w:rsidRPr="00722099">
        <w:rPr>
          <w:rFonts w:ascii="Times New Roman" w:hAnsi="Times New Roman" w:cs="Times New Roman"/>
          <w:sz w:val="22"/>
          <w:szCs w:val="22"/>
        </w:rPr>
        <w:t>, con il pieno riconoscimento del diritto di partecipazione alla vita democratica.</w:t>
      </w:r>
    </w:p>
    <w:p w14:paraId="440AA51E" w14:textId="77777777" w:rsidR="00F42BF1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1963 – Accesso delle donne alla magistratura ordinaria, superando il divieto di ricoprire funzioni giudiziarie e affermando il principio di parità anche nelle carriere pubbliche.</w:t>
      </w:r>
    </w:p>
    <w:p w14:paraId="1133DB58" w14:textId="77777777" w:rsidR="00F42BF1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1968 – Abrogazione del reato di adulterio che puniva solo le donne, con il superamento di una disciplina fortemente discriminatoria sul piano penale e morale.</w:t>
      </w:r>
    </w:p>
    <w:p w14:paraId="05040801" w14:textId="2C2335EA" w:rsidR="00F42BF1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1975 – Riforma del diritto di famiglia, che riconosce la piena parità giuridica tra marito e moglie, elimina la “patria potestà” del solo padre e valorizza la corresponsabilità genitoriale</w:t>
      </w:r>
      <w:r w:rsidR="00CF58CA" w:rsidRPr="007220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2AA4E6" w14:textId="77777777" w:rsidR="00CF58CA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1978 – Approvazione della legge sull’interruzione volontaria di gravidanza, che decriminalizza l’aborto entro limiti e condizioni prefissate e rafforza l’autodeterminazione della donna in materia di maternità.</w:t>
      </w:r>
    </w:p>
    <w:p w14:paraId="1C4B8E79" w14:textId="46FD510B" w:rsidR="00525709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1981 – Abolizione degli articoli del codice penale sul delitto d’onore e sul matrimonio riparatore, che attenuavano o cancellavano la responsabilità dell’uomo autore di violenza sessuale in caso di matrimonio con la </w:t>
      </w:r>
      <w:r w:rsidR="006E1A8D" w:rsidRPr="00722099">
        <w:rPr>
          <w:rFonts w:ascii="Times New Roman" w:hAnsi="Times New Roman" w:cs="Times New Roman"/>
          <w:sz w:val="22"/>
          <w:szCs w:val="22"/>
        </w:rPr>
        <w:t xml:space="preserve">vittima </w:t>
      </w:r>
      <w:r w:rsidR="006E1A8D">
        <w:rPr>
          <w:rFonts w:ascii="Times New Roman" w:hAnsi="Times New Roman" w:cs="Times New Roman"/>
          <w:sz w:val="22"/>
          <w:szCs w:val="22"/>
        </w:rPr>
        <w:t>–</w:t>
      </w:r>
      <w:r w:rsidR="00525709" w:rsidRPr="00722099">
        <w:rPr>
          <w:rFonts w:ascii="Times New Roman" w:hAnsi="Times New Roman" w:cs="Times New Roman"/>
          <w:sz w:val="22"/>
          <w:szCs w:val="22"/>
        </w:rPr>
        <w:t xml:space="preserve"> </w:t>
      </w:r>
      <w:r w:rsidR="006E1A8D">
        <w:rPr>
          <w:rFonts w:ascii="Times New Roman" w:hAnsi="Times New Roman" w:cs="Times New Roman"/>
          <w:sz w:val="22"/>
          <w:szCs w:val="22"/>
        </w:rPr>
        <w:t>(</w:t>
      </w:r>
      <w:r w:rsidR="006E1A8D" w:rsidRPr="006E1A8D">
        <w:rPr>
          <w:rFonts w:ascii="Times New Roman" w:hAnsi="Times New Roman" w:cs="Times New Roman"/>
          <w:sz w:val="22"/>
          <w:szCs w:val="22"/>
        </w:rPr>
        <w:t>Abolizione del matrimonio riparatore e del delitto d’onore legge n. 442/1981 – caso simbolico: Franca Viola</w:t>
      </w:r>
      <w:r w:rsidR="006E1A8D">
        <w:rPr>
          <w:rFonts w:ascii="Times New Roman" w:hAnsi="Times New Roman" w:cs="Times New Roman"/>
          <w:sz w:val="22"/>
          <w:szCs w:val="22"/>
        </w:rPr>
        <w:t>)</w:t>
      </w:r>
      <w:r w:rsidR="00525709" w:rsidRPr="00722099">
        <w:rPr>
          <w:rFonts w:ascii="Times New Roman" w:hAnsi="Times New Roman" w:cs="Times New Roman"/>
          <w:sz w:val="22"/>
          <w:szCs w:val="22"/>
        </w:rPr>
        <w:t>.</w:t>
      </w:r>
    </w:p>
    <w:p w14:paraId="10964E1F" w14:textId="77777777" w:rsidR="00525709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1996 – Riforma dei reati sessuali: lo stupro non è più considerato reato contro la morale, ma reato contro la persona, con il riconoscimento della centralità della libertà e dignità della donna.</w:t>
      </w:r>
    </w:p>
    <w:p w14:paraId="3D1E6590" w14:textId="43BEFA54" w:rsidR="009605D4" w:rsidRPr="00722099" w:rsidRDefault="009605D4" w:rsidP="00722099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2019 – Introduzione del cosiddetto “Codice Rosso”, che accelera le procedure penali per i reati di violenza domestica e di genere e rafforza gli strumenti di tutela delle vittime.</w:t>
      </w:r>
    </w:p>
    <w:p w14:paraId="1D585CB8" w14:textId="552FFCD2" w:rsidR="009605D4" w:rsidRPr="00722099" w:rsidRDefault="009605D4" w:rsidP="00722099">
      <w:p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L’analisi di queste tappe è stata collegata agli articoli 3, 29, 31 e 37 della Costituzione, alla progressiva attuazione del principio di eguaglianza sostanziale tra uomini e donne e ai persistenti divari, in particolare nel mercato del lavoro e nelle retribuzioni.</w:t>
      </w:r>
    </w:p>
    <w:p w14:paraId="5E595ABA" w14:textId="77777777" w:rsidR="009605D4" w:rsidRPr="00722099" w:rsidRDefault="009605D4" w:rsidP="00722099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301AC8" w14:textId="3433EB9A" w:rsidR="009605D4" w:rsidRPr="00722099" w:rsidRDefault="009605D4" w:rsidP="00722099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lastRenderedPageBreak/>
        <w:t xml:space="preserve"> Parlamento, Presidente della Repubblica, Governo</w:t>
      </w:r>
    </w:p>
    <w:p w14:paraId="4F72F134" w14:textId="77777777" w:rsidR="00F57980" w:rsidRPr="00722099" w:rsidRDefault="009605D4" w:rsidP="00722099">
      <w:pPr>
        <w:pStyle w:val="Paragrafoelenco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Parlamento</w:t>
      </w:r>
    </w:p>
    <w:p w14:paraId="30DF7ACA" w14:textId="0E076D20" w:rsidR="00E90AA5" w:rsidRPr="00722099" w:rsidRDefault="009605D4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Organo rappresentativo titolare del potere legislativo, eletto direttamente dai cittadini, composto da Camera dei </w:t>
      </w:r>
      <w:r w:rsidR="00B64314" w:rsidRPr="00722099">
        <w:rPr>
          <w:rFonts w:ascii="Times New Roman" w:hAnsi="Times New Roman" w:cs="Times New Roman"/>
          <w:sz w:val="22"/>
          <w:szCs w:val="22"/>
        </w:rPr>
        <w:t>D</w:t>
      </w:r>
      <w:r w:rsidRPr="00722099">
        <w:rPr>
          <w:rFonts w:ascii="Times New Roman" w:hAnsi="Times New Roman" w:cs="Times New Roman"/>
          <w:sz w:val="22"/>
          <w:szCs w:val="22"/>
        </w:rPr>
        <w:t>eputati e Senato della Repubblica (bicameralismo).</w:t>
      </w:r>
      <w:r w:rsidR="00E90AA5" w:rsidRPr="007220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566627" w14:textId="503E3A34" w:rsidR="009605D4" w:rsidRPr="00722099" w:rsidRDefault="009605D4" w:rsidP="00722099">
      <w:pPr>
        <w:spacing w:after="12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 xml:space="preserve">Funzioni principali: </w:t>
      </w:r>
      <w:r w:rsidR="00525709" w:rsidRPr="00722099">
        <w:rPr>
          <w:rFonts w:ascii="Times New Roman" w:hAnsi="Times New Roman" w:cs="Times New Roman"/>
          <w:sz w:val="22"/>
          <w:szCs w:val="22"/>
        </w:rPr>
        <w:t>emanare</w:t>
      </w:r>
      <w:r w:rsidRPr="00722099">
        <w:rPr>
          <w:rFonts w:ascii="Times New Roman" w:hAnsi="Times New Roman" w:cs="Times New Roman"/>
          <w:sz w:val="22"/>
          <w:szCs w:val="22"/>
        </w:rPr>
        <w:t xml:space="preserve"> le leggi, </w:t>
      </w:r>
      <w:r w:rsidR="00B64314" w:rsidRPr="00722099">
        <w:rPr>
          <w:rFonts w:ascii="Times New Roman" w:hAnsi="Times New Roman" w:cs="Times New Roman"/>
          <w:sz w:val="22"/>
          <w:szCs w:val="22"/>
        </w:rPr>
        <w:t>conferire</w:t>
      </w:r>
      <w:r w:rsidRPr="00722099">
        <w:rPr>
          <w:rFonts w:ascii="Times New Roman" w:hAnsi="Times New Roman" w:cs="Times New Roman"/>
          <w:sz w:val="22"/>
          <w:szCs w:val="22"/>
        </w:rPr>
        <w:t xml:space="preserve"> </w:t>
      </w:r>
      <w:r w:rsidR="00B64314" w:rsidRPr="00722099">
        <w:rPr>
          <w:rFonts w:ascii="Times New Roman" w:hAnsi="Times New Roman" w:cs="Times New Roman"/>
          <w:sz w:val="22"/>
          <w:szCs w:val="22"/>
        </w:rPr>
        <w:t>e/o</w:t>
      </w:r>
      <w:r w:rsidRPr="00722099">
        <w:rPr>
          <w:rFonts w:ascii="Times New Roman" w:hAnsi="Times New Roman" w:cs="Times New Roman"/>
          <w:sz w:val="22"/>
          <w:szCs w:val="22"/>
        </w:rPr>
        <w:t xml:space="preserve"> revocare la fiducia al Governo, controllare l’operato dell’esecutiv</w:t>
      </w:r>
      <w:r w:rsidR="00525709" w:rsidRPr="00722099">
        <w:rPr>
          <w:rFonts w:ascii="Times New Roman" w:hAnsi="Times New Roman" w:cs="Times New Roman"/>
          <w:sz w:val="22"/>
          <w:szCs w:val="22"/>
        </w:rPr>
        <w:t>o</w:t>
      </w:r>
      <w:r w:rsidR="00B64314" w:rsidRPr="00722099">
        <w:rPr>
          <w:rFonts w:ascii="Times New Roman" w:hAnsi="Times New Roman" w:cs="Times New Roman"/>
          <w:sz w:val="22"/>
          <w:szCs w:val="22"/>
        </w:rPr>
        <w:t>, partecipa all’elezione del Presidente della Repubblica.</w:t>
      </w:r>
    </w:p>
    <w:p w14:paraId="2DA50868" w14:textId="77777777" w:rsidR="00525709" w:rsidRPr="00722099" w:rsidRDefault="009605D4" w:rsidP="00722099">
      <w:pPr>
        <w:pStyle w:val="Paragrafoelenco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Presidente della Repubblica</w:t>
      </w:r>
    </w:p>
    <w:p w14:paraId="51D70C29" w14:textId="4B031F53" w:rsidR="00525709" w:rsidRPr="00722099" w:rsidRDefault="00525709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Capo dello Stato</w:t>
      </w:r>
      <w:r w:rsidR="00B64314" w:rsidRPr="00722099">
        <w:rPr>
          <w:rFonts w:ascii="Times New Roman" w:hAnsi="Times New Roman" w:cs="Times New Roman"/>
          <w:sz w:val="22"/>
          <w:szCs w:val="22"/>
        </w:rPr>
        <w:t xml:space="preserve"> e</w:t>
      </w:r>
      <w:r w:rsidR="009605D4" w:rsidRPr="00722099">
        <w:rPr>
          <w:rFonts w:ascii="Times New Roman" w:hAnsi="Times New Roman" w:cs="Times New Roman"/>
          <w:sz w:val="22"/>
          <w:szCs w:val="22"/>
        </w:rPr>
        <w:t xml:space="preserve"> rappresenta l’unità nazionale e svolge un ruolo di garanzia e equilibrio tra i poteri.</w:t>
      </w:r>
    </w:p>
    <w:p w14:paraId="64FB460B" w14:textId="51D5A318" w:rsidR="009605D4" w:rsidRPr="00722099" w:rsidRDefault="009605D4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Funzioni principali: nomina il Presidente del Consiglio e, su proposta di questo, i ministri; promulga le leggi; può rinviare una legge alle Camere; presiede il CSM e il Consiglio supremo di difesa; può sciogliere le Camere nei casi previsti</w:t>
      </w:r>
      <w:r w:rsidR="00525709" w:rsidRPr="00722099">
        <w:rPr>
          <w:rFonts w:ascii="Times New Roman" w:hAnsi="Times New Roman" w:cs="Times New Roman"/>
          <w:sz w:val="22"/>
          <w:szCs w:val="22"/>
        </w:rPr>
        <w:t>.</w:t>
      </w:r>
    </w:p>
    <w:p w14:paraId="68718DB2" w14:textId="77777777" w:rsidR="00525709" w:rsidRPr="00722099" w:rsidRDefault="009605D4" w:rsidP="00722099">
      <w:pPr>
        <w:pStyle w:val="Paragrafoelenco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Governo</w:t>
      </w:r>
    </w:p>
    <w:p w14:paraId="62E8EE59" w14:textId="549B7BF0" w:rsidR="009605D4" w:rsidRPr="00722099" w:rsidRDefault="00B64314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22099">
        <w:rPr>
          <w:rFonts w:ascii="Times New Roman" w:hAnsi="Times New Roman" w:cs="Times New Roman"/>
          <w:sz w:val="22"/>
          <w:szCs w:val="22"/>
        </w:rPr>
        <w:t>O</w:t>
      </w:r>
      <w:r w:rsidR="009605D4" w:rsidRPr="00722099">
        <w:rPr>
          <w:rFonts w:ascii="Times New Roman" w:hAnsi="Times New Roman" w:cs="Times New Roman"/>
          <w:sz w:val="22"/>
          <w:szCs w:val="22"/>
        </w:rPr>
        <w:t xml:space="preserve">rgano titolare del potere esecutivo, </w:t>
      </w:r>
      <w:r w:rsidRPr="00722099">
        <w:rPr>
          <w:rFonts w:ascii="Times New Roman" w:hAnsi="Times New Roman" w:cs="Times New Roman"/>
          <w:sz w:val="22"/>
          <w:szCs w:val="22"/>
        </w:rPr>
        <w:t>composto</w:t>
      </w:r>
      <w:r w:rsidR="009605D4" w:rsidRPr="00722099">
        <w:rPr>
          <w:rFonts w:ascii="Times New Roman" w:hAnsi="Times New Roman" w:cs="Times New Roman"/>
          <w:sz w:val="22"/>
          <w:szCs w:val="22"/>
        </w:rPr>
        <w:t xml:space="preserve"> da</w:t>
      </w:r>
      <w:r w:rsidRPr="00722099">
        <w:rPr>
          <w:rFonts w:ascii="Times New Roman" w:hAnsi="Times New Roman" w:cs="Times New Roman"/>
          <w:sz w:val="22"/>
          <w:szCs w:val="22"/>
        </w:rPr>
        <w:t>l</w:t>
      </w:r>
      <w:r w:rsidR="009605D4" w:rsidRPr="00722099">
        <w:rPr>
          <w:rFonts w:ascii="Times New Roman" w:hAnsi="Times New Roman" w:cs="Times New Roman"/>
          <w:sz w:val="22"/>
          <w:szCs w:val="22"/>
        </w:rPr>
        <w:t xml:space="preserve"> Presidente del Consiglio e ministri, responsabile politicamente davanti al Parlamento.</w:t>
      </w:r>
      <w:r w:rsidR="00722099" w:rsidRPr="00722099">
        <w:rPr>
          <w:rFonts w:ascii="Times New Roman" w:hAnsi="Times New Roman" w:cs="Times New Roman"/>
          <w:sz w:val="22"/>
          <w:szCs w:val="22"/>
        </w:rPr>
        <w:t xml:space="preserve"> Esercita il potere esecutivo</w:t>
      </w:r>
      <w:r w:rsidR="009605D4" w:rsidRPr="00722099">
        <w:rPr>
          <w:rFonts w:ascii="Times New Roman" w:hAnsi="Times New Roman" w:cs="Times New Roman"/>
          <w:sz w:val="22"/>
          <w:szCs w:val="22"/>
        </w:rPr>
        <w:t xml:space="preserve">: dirige la politica generale del Paese, </w:t>
      </w:r>
      <w:proofErr w:type="spellStart"/>
      <w:r w:rsidR="009605D4" w:rsidRPr="00722099">
        <w:rPr>
          <w:rFonts w:ascii="Times New Roman" w:hAnsi="Times New Roman" w:cs="Times New Roman"/>
          <w:sz w:val="22"/>
          <w:szCs w:val="22"/>
        </w:rPr>
        <w:t>pre</w:t>
      </w:r>
      <w:proofErr w:type="spellEnd"/>
      <w:r w:rsidR="009605D4" w:rsidRPr="00722099">
        <w:rPr>
          <w:rFonts w:ascii="Times New Roman" w:hAnsi="Times New Roman" w:cs="Times New Roman"/>
          <w:sz w:val="22"/>
          <w:szCs w:val="22"/>
        </w:rPr>
        <w:t xml:space="preserve">, emana </w:t>
      </w:r>
      <w:proofErr w:type="spellStart"/>
      <w:r w:rsidR="009605D4" w:rsidRPr="00722099">
        <w:rPr>
          <w:rFonts w:ascii="Times New Roman" w:hAnsi="Times New Roman" w:cs="Times New Roman"/>
          <w:sz w:val="22"/>
          <w:szCs w:val="22"/>
        </w:rPr>
        <w:t>decreti-legge</w:t>
      </w:r>
      <w:proofErr w:type="spellEnd"/>
      <w:r w:rsidR="009605D4" w:rsidRPr="00722099">
        <w:rPr>
          <w:rFonts w:ascii="Times New Roman" w:hAnsi="Times New Roman" w:cs="Times New Roman"/>
          <w:sz w:val="22"/>
          <w:szCs w:val="22"/>
        </w:rPr>
        <w:t xml:space="preserve"> e decre</w:t>
      </w:r>
      <w:r w:rsidR="00735D7B" w:rsidRPr="00722099">
        <w:rPr>
          <w:rFonts w:ascii="Times New Roman" w:hAnsi="Times New Roman" w:cs="Times New Roman"/>
          <w:sz w:val="22"/>
          <w:szCs w:val="22"/>
        </w:rPr>
        <w:t>to legislativo</w:t>
      </w:r>
    </w:p>
    <w:p w14:paraId="3A6CD950" w14:textId="77777777" w:rsidR="00722099" w:rsidRDefault="00722099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A26EECE" w14:textId="77777777" w:rsidR="00A019B3" w:rsidRPr="00722099" w:rsidRDefault="00A019B3" w:rsidP="00722099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FA722E4" w14:textId="77777777" w:rsidR="00735D7B" w:rsidRPr="00722099" w:rsidRDefault="00735D7B" w:rsidP="00722099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22099">
        <w:rPr>
          <w:rFonts w:ascii="Times New Roman" w:eastAsia="MS Mincho" w:hAnsi="Times New Roman" w:cs="Times New Roman"/>
          <w:sz w:val="22"/>
          <w:szCs w:val="22"/>
        </w:rPr>
        <w:t>Agenda 2030</w:t>
      </w:r>
    </w:p>
    <w:p w14:paraId="02E8EFA2" w14:textId="1D18133F" w:rsidR="00735D7B" w:rsidRPr="00722099" w:rsidRDefault="00735D7B" w:rsidP="00722099">
      <w:pPr>
        <w:numPr>
          <w:ilvl w:val="0"/>
          <w:numId w:val="13"/>
        </w:numPr>
        <w:spacing w:after="120" w:line="360" w:lineRule="auto"/>
        <w:ind w:left="709" w:hanging="284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22099">
        <w:rPr>
          <w:rFonts w:ascii="Times New Roman" w:eastAsia="MS Mincho" w:hAnsi="Times New Roman" w:cs="Times New Roman"/>
          <w:sz w:val="22"/>
          <w:szCs w:val="22"/>
        </w:rPr>
        <w:t xml:space="preserve">Povertà zero - obiettivo 1 – : sono stati esaminati i dati recenti sulla povertà a livello mondiale con particolare focus in Italia, con attenzione alle categorie più vulnerabili e al collegamento tra povertà economica, esclusione sociale e istruzione. Povertà assoluta in Italia: cause delle povertà e categorie coinvolte; collegamento tra inflazione e </w:t>
      </w:r>
      <w:proofErr w:type="spellStart"/>
      <w:r w:rsidRPr="00722099">
        <w:rPr>
          <w:rFonts w:ascii="Times New Roman" w:eastAsia="MS Mincho" w:hAnsi="Times New Roman" w:cs="Times New Roman"/>
          <w:i/>
          <w:iCs/>
          <w:sz w:val="22"/>
          <w:szCs w:val="22"/>
        </w:rPr>
        <w:t>working</w:t>
      </w:r>
      <w:proofErr w:type="spellEnd"/>
      <w:r w:rsidRPr="00722099">
        <w:rPr>
          <w:rFonts w:ascii="Times New Roman" w:eastAsia="MS Mincho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22099">
        <w:rPr>
          <w:rFonts w:ascii="Times New Roman" w:eastAsia="MS Mincho" w:hAnsi="Times New Roman" w:cs="Times New Roman"/>
          <w:i/>
          <w:iCs/>
          <w:sz w:val="22"/>
          <w:szCs w:val="22"/>
        </w:rPr>
        <w:t>poor</w:t>
      </w:r>
      <w:proofErr w:type="spellEnd"/>
      <w:r w:rsidRPr="00722099">
        <w:rPr>
          <w:rFonts w:ascii="Times New Roman" w:eastAsia="MS Mincho" w:hAnsi="Times New Roman" w:cs="Times New Roman"/>
          <w:sz w:val="22"/>
          <w:szCs w:val="22"/>
        </w:rPr>
        <w:t>. (strumenti utilizzati contributo video “</w:t>
      </w:r>
      <w:r w:rsidRPr="00722099">
        <w:rPr>
          <w:rFonts w:ascii="Times New Roman" w:eastAsia="MS Mincho" w:hAnsi="Times New Roman" w:cs="Times New Roman"/>
          <w:i/>
          <w:iCs/>
          <w:sz w:val="22"/>
          <w:szCs w:val="22"/>
        </w:rPr>
        <w:t>La povertà”</w:t>
      </w:r>
      <w:r w:rsidRPr="00722099">
        <w:rPr>
          <w:rFonts w:ascii="Times New Roman" w:eastAsia="MS Mincho" w:hAnsi="Times New Roman" w:cs="Times New Roman"/>
          <w:sz w:val="22"/>
          <w:szCs w:val="22"/>
        </w:rPr>
        <w:t xml:space="preserve"> Il Sole 24 Ore; Report Istat “Povertà stabile ma più pesante per minori e famiglie operaie”; articolo del Corriere della sera "</w:t>
      </w:r>
      <w:r w:rsidRPr="00722099">
        <w:rPr>
          <w:rFonts w:ascii="Times New Roman" w:eastAsia="MS Mincho" w:hAnsi="Times New Roman" w:cs="Times New Roman"/>
          <w:i/>
          <w:iCs/>
          <w:sz w:val="22"/>
          <w:szCs w:val="22"/>
        </w:rPr>
        <w:t>Ceto medio sotto assedio, casa e salute pesano sui conti: ecco chi sono i più «fragili» e quali spese saranno sacrificate”</w:t>
      </w:r>
      <w:r w:rsidRPr="00722099">
        <w:rPr>
          <w:rFonts w:ascii="Times New Roman" w:eastAsia="MS Mincho" w:hAnsi="Times New Roman" w:cs="Times New Roman"/>
          <w:sz w:val="22"/>
          <w:szCs w:val="22"/>
        </w:rPr>
        <w:t>)</w:t>
      </w:r>
    </w:p>
    <w:p w14:paraId="3D3DC5E9" w14:textId="77777777" w:rsidR="00735D7B" w:rsidRPr="00722099" w:rsidRDefault="00735D7B" w:rsidP="00722099">
      <w:pPr>
        <w:numPr>
          <w:ilvl w:val="0"/>
          <w:numId w:val="13"/>
        </w:numPr>
        <w:spacing w:after="120" w:line="360" w:lineRule="auto"/>
        <w:ind w:left="709" w:hanging="284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22099">
        <w:rPr>
          <w:rFonts w:ascii="Times New Roman" w:eastAsia="MS Mincho" w:hAnsi="Times New Roman" w:cs="Times New Roman"/>
          <w:sz w:val="22"/>
          <w:szCs w:val="22"/>
        </w:rPr>
        <w:t>Fame zero - obiettivo 2 – sono stati analizzati le cause della malnutrizione, il cibo di qualità, il problema dello spreco alimentare e il diritto all'alimentazione.</w:t>
      </w:r>
    </w:p>
    <w:p w14:paraId="05DE4DFF" w14:textId="6BC518A6" w:rsidR="00735D7B" w:rsidRPr="00722099" w:rsidRDefault="00735D7B" w:rsidP="00722099">
      <w:pPr>
        <w:numPr>
          <w:ilvl w:val="0"/>
          <w:numId w:val="13"/>
        </w:numPr>
        <w:spacing w:after="120" w:line="360" w:lineRule="auto"/>
        <w:ind w:left="709" w:hanging="284"/>
        <w:jc w:val="both"/>
        <w:rPr>
          <w:rFonts w:ascii="Times New Roman" w:eastAsia="MS Mincho" w:hAnsi="Times New Roman" w:cs="Times New Roman"/>
          <w:sz w:val="22"/>
          <w:szCs w:val="22"/>
          <w:u w:val="single"/>
        </w:rPr>
      </w:pPr>
      <w:r w:rsidRPr="00722099">
        <w:rPr>
          <w:rFonts w:ascii="Times New Roman" w:eastAsia="MS Mincho" w:hAnsi="Times New Roman" w:cs="Times New Roman"/>
          <w:sz w:val="22"/>
          <w:szCs w:val="22"/>
        </w:rPr>
        <w:t>Benessere e salute – obiettivo 3 :-</w:t>
      </w:r>
      <w:r w:rsidRPr="00722099">
        <w:rPr>
          <w:rFonts w:ascii="Times New Roman" w:eastAsia="MS Mincho" w:hAnsi="Times New Roman" w:cs="Times New Roman"/>
          <w:sz w:val="22"/>
          <w:szCs w:val="22"/>
          <w:u w:val="single"/>
        </w:rPr>
        <w:t xml:space="preserve"> </w:t>
      </w:r>
      <w:r w:rsidRPr="00722099">
        <w:rPr>
          <w:rFonts w:ascii="Times New Roman" w:eastAsia="MS Mincho" w:hAnsi="Times New Roman" w:cs="Times New Roman"/>
          <w:sz w:val="22"/>
          <w:szCs w:val="22"/>
        </w:rPr>
        <w:t xml:space="preserve"> assicurare la salute e il benessere per tutti e per tutte le età</w:t>
      </w:r>
      <w:r w:rsidRPr="00722099">
        <w:rPr>
          <w:rFonts w:ascii="Times New Roman" w:hAnsi="Times New Roman" w:cs="Times New Roman"/>
          <w:sz w:val="22"/>
          <w:szCs w:val="22"/>
        </w:rPr>
        <w:t>, finalità: a riduzione della mortalità materna e infantile, contrasto alle epidemie (AIDS, malaria, tubercolosi</w:t>
      </w:r>
      <w:r w:rsidR="00722099" w:rsidRPr="00722099">
        <w:rPr>
          <w:rFonts w:ascii="Times New Roman" w:hAnsi="Times New Roman" w:cs="Times New Roman"/>
          <w:sz w:val="22"/>
          <w:szCs w:val="22"/>
        </w:rPr>
        <w:t>), prevenzione</w:t>
      </w:r>
      <w:r w:rsidRPr="00722099">
        <w:rPr>
          <w:rFonts w:ascii="Times New Roman" w:hAnsi="Times New Roman" w:cs="Times New Roman"/>
          <w:sz w:val="22"/>
          <w:szCs w:val="22"/>
        </w:rPr>
        <w:t xml:space="preserve"> delle malattie non trasmissibili (inclusa la salute mentale) e promozione di stili di vita sano.</w:t>
      </w:r>
    </w:p>
    <w:p w14:paraId="3C62EBA8" w14:textId="7CD9A634" w:rsidR="00735D7B" w:rsidRPr="00722099" w:rsidRDefault="00735D7B" w:rsidP="00722099">
      <w:pPr>
        <w:numPr>
          <w:ilvl w:val="0"/>
          <w:numId w:val="13"/>
        </w:numPr>
        <w:spacing w:after="120" w:line="360" w:lineRule="auto"/>
        <w:ind w:left="709" w:hanging="284"/>
        <w:jc w:val="both"/>
        <w:rPr>
          <w:rFonts w:ascii="Times New Roman" w:eastAsia="MS Mincho" w:hAnsi="Times New Roman" w:cs="Times New Roman"/>
          <w:sz w:val="22"/>
          <w:szCs w:val="22"/>
          <w:u w:val="single"/>
        </w:rPr>
      </w:pPr>
      <w:r w:rsidRPr="00722099">
        <w:rPr>
          <w:rFonts w:ascii="Times New Roman" w:eastAsia="MS Mincho" w:hAnsi="Times New Roman" w:cs="Times New Roman"/>
          <w:sz w:val="22"/>
          <w:szCs w:val="22"/>
        </w:rPr>
        <w:lastRenderedPageBreak/>
        <w:t>Parità di genere – obiettivo 5 -: parità di genere “il tetto di vetro”</w:t>
      </w:r>
      <w:r w:rsidRPr="00722099">
        <w:rPr>
          <w:rFonts w:ascii="Times New Roman" w:hAnsi="Times New Roman" w:cs="Times New Roman"/>
          <w:sz w:val="22"/>
          <w:szCs w:val="22"/>
        </w:rPr>
        <w:t xml:space="preserve"> eliminare discriminazioni, violenze, matrimoni forzati e pratiche nocive, garantendo uguali diritti nell'accesso alla salute, all'istruzione, al lavoro e ai ruoli decisionali</w:t>
      </w:r>
      <w:r w:rsidR="00722099">
        <w:rPr>
          <w:rFonts w:ascii="Times New Roman" w:hAnsi="Times New Roman" w:cs="Times New Roman"/>
          <w:sz w:val="22"/>
          <w:szCs w:val="22"/>
        </w:rPr>
        <w:t>.</w:t>
      </w:r>
    </w:p>
    <w:p w14:paraId="39F75277" w14:textId="44CA186B" w:rsidR="00735D7B" w:rsidRPr="00C1773F" w:rsidRDefault="00735D7B" w:rsidP="00722099">
      <w:pPr>
        <w:numPr>
          <w:ilvl w:val="0"/>
          <w:numId w:val="13"/>
        </w:numPr>
        <w:spacing w:after="120" w:line="360" w:lineRule="auto"/>
        <w:ind w:left="709" w:hanging="284"/>
        <w:jc w:val="both"/>
        <w:rPr>
          <w:rFonts w:ascii="Times New Roman" w:eastAsia="MS Mincho" w:hAnsi="Times New Roman" w:cs="Times New Roman"/>
          <w:sz w:val="22"/>
          <w:szCs w:val="22"/>
          <w:u w:val="single"/>
        </w:rPr>
      </w:pPr>
      <w:r w:rsidRPr="00C1773F">
        <w:rPr>
          <w:rFonts w:ascii="Times New Roman" w:eastAsia="MS Mincho" w:hAnsi="Times New Roman" w:cs="Times New Roman"/>
          <w:sz w:val="22"/>
          <w:szCs w:val="22"/>
        </w:rPr>
        <w:t>Lavoro dignitoso- obiettivo 8 - promuovere una crescita economica duratura, inclusiva e sostenibile, un'occupazione piena e produttiva e un lavoro dignitoso per tutto. Focus sulla dignità e diritto dei lavoratori</w:t>
      </w:r>
      <w:r w:rsidR="00722099" w:rsidRPr="00C1773F">
        <w:rPr>
          <w:rFonts w:ascii="Times New Roman" w:eastAsia="MS Mincho" w:hAnsi="Times New Roman" w:cs="Times New Roman"/>
          <w:sz w:val="22"/>
          <w:szCs w:val="22"/>
        </w:rPr>
        <w:t>.</w:t>
      </w:r>
    </w:p>
    <w:p w14:paraId="6FCCCED3" w14:textId="77777777" w:rsidR="00C1773F" w:rsidRPr="00C1773F" w:rsidRDefault="00C1773F" w:rsidP="00C1773F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1773F">
        <w:rPr>
          <w:rFonts w:ascii="Times New Roman" w:hAnsi="Times New Roman" w:cs="Times New Roman"/>
          <w:sz w:val="22"/>
          <w:szCs w:val="22"/>
        </w:rPr>
        <w:t>Palermo: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1773F" w:rsidRPr="00C1773F" w14:paraId="6A187294" w14:textId="77777777" w:rsidTr="005C7914">
        <w:trPr>
          <w:trHeight w:val="505"/>
        </w:trPr>
        <w:tc>
          <w:tcPr>
            <w:tcW w:w="4889" w:type="dxa"/>
          </w:tcPr>
          <w:p w14:paraId="1F276546" w14:textId="77777777" w:rsidR="00C1773F" w:rsidRPr="00C1773F" w:rsidRDefault="00C1773F" w:rsidP="005C79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73F">
              <w:rPr>
                <w:rFonts w:ascii="Times New Roman" w:hAnsi="Times New Roman" w:cs="Times New Roman"/>
                <w:sz w:val="22"/>
                <w:szCs w:val="22"/>
              </w:rPr>
              <w:t>Studenti</w:t>
            </w:r>
          </w:p>
          <w:p w14:paraId="4564E235" w14:textId="1D47C6D1" w:rsidR="00C1773F" w:rsidRPr="00C1773F" w:rsidRDefault="00C1773F" w:rsidP="005C79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73F">
              <w:rPr>
                <w:rFonts w:ascii="Times New Roman" w:hAnsi="Times New Roman" w:cs="Times New Roman"/>
                <w:sz w:val="22"/>
                <w:szCs w:val="22"/>
              </w:rPr>
              <w:t xml:space="preserve">Classe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C1773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C1773F">
              <w:rPr>
                <w:rFonts w:ascii="Times New Roman" w:hAnsi="Times New Roman" w:cs="Times New Roman"/>
                <w:sz w:val="22"/>
                <w:szCs w:val="22"/>
              </w:rPr>
              <w:t>Sez</w:t>
            </w:r>
            <w:proofErr w:type="spellEnd"/>
            <w:r w:rsidRPr="00C1773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A3EC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4889" w:type="dxa"/>
          </w:tcPr>
          <w:p w14:paraId="4A46D26F" w14:textId="77777777" w:rsidR="00C1773F" w:rsidRPr="00C1773F" w:rsidRDefault="00C1773F" w:rsidP="005C79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73F">
              <w:rPr>
                <w:rFonts w:ascii="Times New Roman" w:hAnsi="Times New Roman" w:cs="Times New Roman"/>
                <w:sz w:val="22"/>
                <w:szCs w:val="22"/>
              </w:rPr>
              <w:t xml:space="preserve"> Docente</w:t>
            </w:r>
          </w:p>
          <w:p w14:paraId="1A03DB98" w14:textId="77777777" w:rsidR="00C1773F" w:rsidRPr="00C1773F" w:rsidRDefault="00C1773F" w:rsidP="005C79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73F">
              <w:rPr>
                <w:rFonts w:ascii="Times New Roman" w:hAnsi="Times New Roman" w:cs="Times New Roman"/>
                <w:sz w:val="22"/>
                <w:szCs w:val="22"/>
              </w:rPr>
              <w:t>Prof. Giovanni Galante</w:t>
            </w:r>
          </w:p>
          <w:p w14:paraId="210C25F2" w14:textId="77777777" w:rsidR="00C1773F" w:rsidRPr="00C1773F" w:rsidRDefault="00C1773F" w:rsidP="005C79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F08469" w14:textId="77777777" w:rsidR="00C1773F" w:rsidRPr="002C5926" w:rsidRDefault="00C1773F" w:rsidP="00C1773F">
      <w:pPr>
        <w:pStyle w:val="Paragrafoelenco"/>
        <w:numPr>
          <w:ilvl w:val="0"/>
          <w:numId w:val="13"/>
        </w:numPr>
      </w:pPr>
    </w:p>
    <w:p w14:paraId="7E0D8B15" w14:textId="77777777" w:rsidR="00735D7B" w:rsidRDefault="00735D7B" w:rsidP="0052570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385F95AB" w14:textId="77777777" w:rsidR="00735D7B" w:rsidRPr="003175D4" w:rsidRDefault="00735D7B" w:rsidP="0052570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sectPr w:rsidR="00735D7B" w:rsidRPr="003175D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5FBA" w14:textId="77777777" w:rsidR="000E36A5" w:rsidRDefault="000E36A5" w:rsidP="00F42BF1">
      <w:pPr>
        <w:spacing w:after="0" w:line="240" w:lineRule="auto"/>
      </w:pPr>
      <w:r>
        <w:separator/>
      </w:r>
    </w:p>
  </w:endnote>
  <w:endnote w:type="continuationSeparator" w:id="0">
    <w:p w14:paraId="23F5366A" w14:textId="77777777" w:rsidR="000E36A5" w:rsidRDefault="000E36A5" w:rsidP="00F4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294787"/>
      <w:docPartObj>
        <w:docPartGallery w:val="Page Numbers (Bottom of Page)"/>
        <w:docPartUnique/>
      </w:docPartObj>
    </w:sdtPr>
    <w:sdtEndPr/>
    <w:sdtContent>
      <w:p w14:paraId="6AEF1A7C" w14:textId="38EA5B0F" w:rsidR="00A019B3" w:rsidRDefault="00A019B3">
        <w:pPr>
          <w:pStyle w:val="Pidipagina"/>
          <w:jc w:val="right"/>
        </w:pPr>
        <w:r w:rsidRPr="00A019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19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19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750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019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1BE37E9" w14:textId="77777777" w:rsidR="00A019B3" w:rsidRDefault="00A019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D8552" w14:textId="77777777" w:rsidR="000E36A5" w:rsidRDefault="000E36A5" w:rsidP="00F42BF1">
      <w:pPr>
        <w:spacing w:after="0" w:line="240" w:lineRule="auto"/>
      </w:pPr>
      <w:r>
        <w:separator/>
      </w:r>
    </w:p>
  </w:footnote>
  <w:footnote w:type="continuationSeparator" w:id="0">
    <w:p w14:paraId="103F8604" w14:textId="77777777" w:rsidR="000E36A5" w:rsidRDefault="000E36A5" w:rsidP="00F4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F33C" w14:textId="4E8A17C0" w:rsidR="00A019B3" w:rsidRPr="00A019B3" w:rsidRDefault="00A019B3" w:rsidP="00A019B3">
    <w:pPr>
      <w:pStyle w:val="Intestazione"/>
      <w:jc w:val="right"/>
      <w:rPr>
        <w:rFonts w:ascii="Times New Roman" w:hAnsi="Times New Roman" w:cs="Times New Roman"/>
        <w:b/>
        <w:sz w:val="16"/>
        <w:szCs w:val="16"/>
      </w:rPr>
    </w:pPr>
    <w:r w:rsidRPr="00A019B3">
      <w:rPr>
        <w:rFonts w:ascii="Times New Roman" w:hAnsi="Times New Roman" w:cs="Times New Roman"/>
        <w:b/>
        <w:sz w:val="16"/>
        <w:szCs w:val="16"/>
      </w:rPr>
      <w:t>Liceo Scientifico V B</w:t>
    </w:r>
  </w:p>
  <w:p w14:paraId="1273B83C" w14:textId="77777777" w:rsidR="00A019B3" w:rsidRDefault="00A019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D3"/>
    <w:multiLevelType w:val="hybridMultilevel"/>
    <w:tmpl w:val="FE06F922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27A37"/>
    <w:multiLevelType w:val="hybridMultilevel"/>
    <w:tmpl w:val="FF089BFA"/>
    <w:lvl w:ilvl="0" w:tplc="3FBA1AE6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sz w:val="15"/>
        <w:szCs w:val="15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3221C4"/>
    <w:multiLevelType w:val="hybridMultilevel"/>
    <w:tmpl w:val="B00687BA"/>
    <w:lvl w:ilvl="0" w:tplc="99E42D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F1D18"/>
    <w:multiLevelType w:val="hybridMultilevel"/>
    <w:tmpl w:val="FE06F922"/>
    <w:lvl w:ilvl="0" w:tplc="4594CF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44614A"/>
    <w:multiLevelType w:val="hybridMultilevel"/>
    <w:tmpl w:val="B3BCCFA6"/>
    <w:lvl w:ilvl="0" w:tplc="FFFFFFFF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2381"/>
    <w:multiLevelType w:val="hybridMultilevel"/>
    <w:tmpl w:val="368CFA78"/>
    <w:lvl w:ilvl="0" w:tplc="92E6F77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F2086"/>
    <w:multiLevelType w:val="hybridMultilevel"/>
    <w:tmpl w:val="D0ACD0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E44D1"/>
    <w:multiLevelType w:val="hybridMultilevel"/>
    <w:tmpl w:val="B3BCCFA6"/>
    <w:lvl w:ilvl="0" w:tplc="91FE2F6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30258"/>
    <w:multiLevelType w:val="hybridMultilevel"/>
    <w:tmpl w:val="EDFA5252"/>
    <w:lvl w:ilvl="0" w:tplc="92E6F77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0494A"/>
    <w:multiLevelType w:val="multilevel"/>
    <w:tmpl w:val="5652F9D6"/>
    <w:styleLink w:val="Elencocorrente2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D691A"/>
    <w:multiLevelType w:val="hybridMultilevel"/>
    <w:tmpl w:val="B6625516"/>
    <w:lvl w:ilvl="0" w:tplc="92E6F77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B1128"/>
    <w:multiLevelType w:val="hybridMultilevel"/>
    <w:tmpl w:val="5E8A6B86"/>
    <w:lvl w:ilvl="0" w:tplc="92E6F77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F23FF"/>
    <w:multiLevelType w:val="multilevel"/>
    <w:tmpl w:val="C040CB5C"/>
    <w:styleLink w:val="Elencocorrente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B36B3"/>
    <w:multiLevelType w:val="multilevel"/>
    <w:tmpl w:val="901A96D0"/>
    <w:styleLink w:val="Elencocorren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A4723"/>
    <w:multiLevelType w:val="hybridMultilevel"/>
    <w:tmpl w:val="1542FA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D4"/>
    <w:rsid w:val="00050260"/>
    <w:rsid w:val="000C0DBC"/>
    <w:rsid w:val="000C3ADD"/>
    <w:rsid w:val="000E36A5"/>
    <w:rsid w:val="001712DD"/>
    <w:rsid w:val="00202125"/>
    <w:rsid w:val="00283C2E"/>
    <w:rsid w:val="002A7505"/>
    <w:rsid w:val="003175D4"/>
    <w:rsid w:val="00336891"/>
    <w:rsid w:val="003F5B3C"/>
    <w:rsid w:val="00410262"/>
    <w:rsid w:val="004E27BB"/>
    <w:rsid w:val="00525709"/>
    <w:rsid w:val="006E1A8D"/>
    <w:rsid w:val="006E5831"/>
    <w:rsid w:val="00722099"/>
    <w:rsid w:val="00735D7B"/>
    <w:rsid w:val="00831736"/>
    <w:rsid w:val="00860103"/>
    <w:rsid w:val="008E7175"/>
    <w:rsid w:val="009605D4"/>
    <w:rsid w:val="009A25F7"/>
    <w:rsid w:val="00A019B3"/>
    <w:rsid w:val="00A16D3A"/>
    <w:rsid w:val="00A31F95"/>
    <w:rsid w:val="00B06AB8"/>
    <w:rsid w:val="00B315BE"/>
    <w:rsid w:val="00B64314"/>
    <w:rsid w:val="00C1773F"/>
    <w:rsid w:val="00C46172"/>
    <w:rsid w:val="00CF58CA"/>
    <w:rsid w:val="00D2211C"/>
    <w:rsid w:val="00D56195"/>
    <w:rsid w:val="00E90AA5"/>
    <w:rsid w:val="00EA3ECF"/>
    <w:rsid w:val="00F42BF1"/>
    <w:rsid w:val="00F57980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C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5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5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5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5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5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5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5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05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5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5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5D4"/>
    <w:rPr>
      <w:b/>
      <w:bCs/>
      <w:smallCaps/>
      <w:color w:val="0F4761" w:themeColor="accent1" w:themeShade="BF"/>
      <w:spacing w:val="5"/>
    </w:rPr>
  </w:style>
  <w:style w:type="numbering" w:customStyle="1" w:styleId="Elencocorrente1">
    <w:name w:val="Elenco corrente1"/>
    <w:uiPriority w:val="99"/>
    <w:rsid w:val="009605D4"/>
    <w:pPr>
      <w:numPr>
        <w:numId w:val="4"/>
      </w:numPr>
    </w:pPr>
  </w:style>
  <w:style w:type="numbering" w:customStyle="1" w:styleId="Elencocorrente2">
    <w:name w:val="Elenco corrente2"/>
    <w:uiPriority w:val="99"/>
    <w:rsid w:val="009605D4"/>
    <w:pPr>
      <w:numPr>
        <w:numId w:val="5"/>
      </w:numPr>
    </w:pPr>
  </w:style>
  <w:style w:type="numbering" w:customStyle="1" w:styleId="Elencocorrente3">
    <w:name w:val="Elenco corrente3"/>
    <w:uiPriority w:val="99"/>
    <w:rsid w:val="009605D4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01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9B3"/>
  </w:style>
  <w:style w:type="paragraph" w:styleId="Pidipagina">
    <w:name w:val="footer"/>
    <w:basedOn w:val="Normale"/>
    <w:link w:val="PidipaginaCarattere"/>
    <w:uiPriority w:val="99"/>
    <w:unhideWhenUsed/>
    <w:rsid w:val="00A01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5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5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5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5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5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5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5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05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5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5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5D4"/>
    <w:rPr>
      <w:b/>
      <w:bCs/>
      <w:smallCaps/>
      <w:color w:val="0F4761" w:themeColor="accent1" w:themeShade="BF"/>
      <w:spacing w:val="5"/>
    </w:rPr>
  </w:style>
  <w:style w:type="numbering" w:customStyle="1" w:styleId="Elencocorrente1">
    <w:name w:val="Elenco corrente1"/>
    <w:uiPriority w:val="99"/>
    <w:rsid w:val="009605D4"/>
    <w:pPr>
      <w:numPr>
        <w:numId w:val="4"/>
      </w:numPr>
    </w:pPr>
  </w:style>
  <w:style w:type="numbering" w:customStyle="1" w:styleId="Elencocorrente2">
    <w:name w:val="Elenco corrente2"/>
    <w:uiPriority w:val="99"/>
    <w:rsid w:val="009605D4"/>
    <w:pPr>
      <w:numPr>
        <w:numId w:val="5"/>
      </w:numPr>
    </w:pPr>
  </w:style>
  <w:style w:type="numbering" w:customStyle="1" w:styleId="Elencocorrente3">
    <w:name w:val="Elenco corrente3"/>
    <w:uiPriority w:val="99"/>
    <w:rsid w:val="009605D4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01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9B3"/>
  </w:style>
  <w:style w:type="paragraph" w:styleId="Pidipagina">
    <w:name w:val="footer"/>
    <w:basedOn w:val="Normale"/>
    <w:link w:val="PidipaginaCarattere"/>
    <w:uiPriority w:val="99"/>
    <w:unhideWhenUsed/>
    <w:rsid w:val="00A01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Galante</dc:creator>
  <cp:lastModifiedBy>Segreteria</cp:lastModifiedBy>
  <cp:revision>2</cp:revision>
  <cp:lastPrinted>2026-06-03T14:18:00Z</cp:lastPrinted>
  <dcterms:created xsi:type="dcterms:W3CDTF">2026-06-03T14:35:00Z</dcterms:created>
  <dcterms:modified xsi:type="dcterms:W3CDTF">2026-06-03T14:35:00Z</dcterms:modified>
</cp:coreProperties>
</file>