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tura MT Script Capitals" w:cs="Matura MT Script Capitals" w:eastAsia="Matura MT Script Capitals" w:hAnsi="Matura MT Script Capita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ISTITUTO SALESIANO “DON BOSCO”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atura MT Script Capitals" w:cs="Matura MT Script Capitals" w:eastAsia="Matura MT Script Capitals" w:hAnsi="Matura MT Script Capita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Villa Ranchibile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Via Libertà, 199 – 90143 – PALERMO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LICEO DELLE SCIENZE UMANE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opzione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Economico - Sociale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PROGRAMMA DI Lingua e Cultura Araba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Svolto nella classe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Les sez.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Docente: Prof. Vitale Gloria</w:t>
      </w:r>
      <w:r w:rsidDel="00000000" w:rsidR="00000000" w:rsidRPr="00000000">
        <w:rPr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Hayat Nabata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Testo:  Kalima Vol. 1 Autore: Sana Darghmouni, Casa Editrice: Mondadori Education,  Ed: 2023.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Dispense fornite in classe dal docente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Contenuti 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Alfabeto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Segni diacritici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Principali regole ortografiche e fonetiche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Elementi di lettura senza vocali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Elementi di morfologia sul nome, sul verbo, sui pronomi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Funzioni linguistiche: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Sapersi presentare in maniera semplice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Saluti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Palermo:  data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8.0" w:type="dxa"/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Gli Studenti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Docente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……………………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Matura MT Script Capita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KY/QQaZFiWmwE9SdPQATC8wG4A==">CgMxLjA4AHIhMWNJTW1WSVFPeEdBd0ttSlhvS1JGUDEzNXB5QmdtR01Y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